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77777777" w:rsidR="00352E90" w:rsidRPr="00C8007B" w:rsidRDefault="00352E90" w:rsidP="00296510">
      <w:pPr>
        <w:rPr>
          <w:rFonts w:ascii="Bahnschrift" w:hAnsi="Bahnschrift"/>
          <w:b/>
          <w:bCs/>
          <w:i/>
          <w:iCs/>
        </w:rPr>
      </w:pPr>
      <w:r w:rsidRPr="00C8007B">
        <w:rPr>
          <w:rFonts w:ascii="Bahnschrift" w:hAnsi="Bahnschrift"/>
          <w:b/>
          <w:bCs/>
          <w:i/>
          <w:iCs/>
        </w:rPr>
        <w:t>TCHC is a disability confident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1B75BCD"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Special Educational Needs Support Coach.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2CC90670" w:rsidR="00296510" w:rsidRPr="00C8007B" w:rsidRDefault="34570277" w:rsidP="71F5E778">
            <w:pPr>
              <w:pStyle w:val="BodyText"/>
              <w:rPr>
                <w:rFonts w:ascii="Bahnschrift" w:hAnsi="Bahnschrift"/>
              </w:rPr>
            </w:pPr>
            <w:r w:rsidRPr="00C8007B">
              <w:rPr>
                <w:rFonts w:ascii="Bahnschrift" w:hAnsi="Bahnschrift"/>
              </w:rPr>
              <w:t>SEN Support Coach</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152DCC09" w:rsidR="00296510" w:rsidRPr="00C8007B" w:rsidRDefault="007A53FA" w:rsidP="71F5E778">
            <w:pPr>
              <w:pStyle w:val="TableText"/>
              <w:rPr>
                <w:rFonts w:ascii="Bahnschrift" w:hAnsi="Bahnschrift"/>
              </w:rPr>
            </w:pPr>
            <w:r>
              <w:rPr>
                <w:rFonts w:ascii="Bahnschrift" w:hAnsi="Bahnschrift"/>
              </w:rPr>
              <w:t xml:space="preserve">Basildon </w:t>
            </w:r>
            <w:r w:rsidR="003F1FA0">
              <w:rPr>
                <w:rFonts w:ascii="Bahnschrift" w:hAnsi="Bahnschrift"/>
              </w:rPr>
              <w:t>Bowlers Croft</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 xml:space="preserve">Friday 8.45 </w:t>
            </w:r>
            <w:proofErr w:type="gramStart"/>
            <w:r w:rsidRPr="001B010B">
              <w:rPr>
                <w:rFonts w:ascii="Bahnschrift" w:hAnsi="Bahnschrift"/>
              </w:rPr>
              <w:t>am</w:t>
            </w:r>
            <w:proofErr w:type="gramEnd"/>
            <w:r w:rsidRPr="001B010B">
              <w:rPr>
                <w:rFonts w:ascii="Bahnschrift" w:hAnsi="Bahnschrift"/>
              </w:rPr>
              <w:t xml:space="preserve">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35189AC9"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26</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06F7003E" w:rsidR="00296510" w:rsidRPr="00C8007B" w:rsidRDefault="00D958BD" w:rsidP="71F5E778">
            <w:pPr>
              <w:pStyle w:val="TableText"/>
              <w:rPr>
                <w:rFonts w:ascii="Bahnschrift" w:hAnsi="Bahnschrift"/>
              </w:rPr>
            </w:pPr>
            <w:r w:rsidRPr="00D958BD">
              <w:rPr>
                <w:rFonts w:ascii="Bahnschrift" w:hAnsi="Bahnschrift"/>
              </w:rPr>
              <w:t>£21,546 gross per annum (FT equivalent £24,570)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36D047D9" w14:textId="77777777" w:rsidR="00C8007B" w:rsidRDefault="00C8007B" w:rsidP="71F5E778">
      <w:pPr>
        <w:spacing w:before="240" w:after="240"/>
        <w:rPr>
          <w:rFonts w:ascii="Bahnschrift" w:eastAsia="Aptos" w:hAnsi="Bahnschrift" w:cs="Aptos"/>
          <w:b/>
          <w:bCs/>
          <w:color w:val="003465" w:themeColor="accent6" w:themeShade="BF"/>
        </w:rPr>
      </w:pP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8174B53" w14:textId="3146D9F3"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LSA (Learning Support Assistant) support in lessons </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04AEAEFB" w:rsidR="00B7752B" w:rsidRPr="00B10699" w:rsidRDefault="00B7752B" w:rsidP="00B10699">
      <w:pPr>
        <w:pStyle w:val="ListParagraph"/>
        <w:numPr>
          <w:ilvl w:val="0"/>
          <w:numId w:val="14"/>
        </w:numPr>
        <w:rPr>
          <w:rFonts w:ascii="Bahnschrift" w:hAnsi="Bahnschrift"/>
        </w:rPr>
      </w:pPr>
      <w:r w:rsidRPr="00B10699">
        <w:rPr>
          <w:rFonts w:ascii="Bahnschrift" w:hAnsi="Bahnschrift"/>
        </w:rPr>
        <w:t>We operate a Christmas and New Year shutdown period</w:t>
      </w:r>
      <w:r w:rsidR="003F1FA0">
        <w:rPr>
          <w:rFonts w:ascii="Bahnschrift" w:hAnsi="Bahnschrift"/>
        </w:rPr>
        <w:t>,</w:t>
      </w:r>
      <w:r w:rsidRPr="00B10699">
        <w:rPr>
          <w:rFonts w:ascii="Bahnschrift" w:hAnsi="Bahnschrift"/>
        </w:rPr>
        <w:t xml:space="preserve">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28FC004D" w:rsidR="00B7752B" w:rsidRPr="00B7752B" w:rsidRDefault="00B7752B" w:rsidP="00B7752B">
      <w:pPr>
        <w:numPr>
          <w:ilvl w:val="0"/>
          <w:numId w:val="14"/>
        </w:numPr>
        <w:rPr>
          <w:rFonts w:ascii="Bahnschrift" w:hAnsi="Bahnschrift"/>
        </w:rPr>
      </w:pPr>
      <w:r w:rsidRPr="00B7752B">
        <w:rPr>
          <w:rFonts w:ascii="Bahnschrift" w:hAnsi="Bahnschrift"/>
        </w:rPr>
        <w:t xml:space="preserve">Pension scheme after 3 months </w:t>
      </w:r>
      <w:r w:rsidR="003F1FA0">
        <w:rPr>
          <w:rFonts w:ascii="Bahnschrift" w:hAnsi="Bahnschrift"/>
        </w:rPr>
        <w:t>of employment</w:t>
      </w:r>
      <w:r w:rsidRPr="00B7752B">
        <w:rPr>
          <w:rFonts w:ascii="Bahnschrift" w:hAnsi="Bahnschrift"/>
        </w:rPr>
        <w:t xml:space="preserve">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38BCE890"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3F1FA0">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D38A28A" w:rsidR="00D22D67" w:rsidRPr="004B18CC" w:rsidRDefault="71F5E778" w:rsidP="71F5E778">
          <w:pPr>
            <w:jc w:val="right"/>
            <w:rPr>
              <w:rFonts w:ascii="Bahnschrift" w:hAnsi="Bahnschrift"/>
              <w:b/>
              <w:bCs/>
              <w:sz w:val="24"/>
              <w:szCs w:val="24"/>
            </w:rPr>
          </w:pPr>
          <w:r w:rsidRPr="71F5E778">
            <w:rPr>
              <w:rFonts w:ascii="Bahnschrift" w:hAnsi="Bahnschrift"/>
              <w:b/>
              <w:bCs/>
              <w:sz w:val="24"/>
              <w:szCs w:val="24"/>
            </w:rPr>
            <w:t>SEN Support Coach</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3F1FA0"/>
    <w:rsid w:val="00407D9A"/>
    <w:rsid w:val="00444C72"/>
    <w:rsid w:val="00444F3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8368</Characters>
  <Application>Microsoft Office Word</Application>
  <DocSecurity>0</DocSecurity>
  <Lines>178</Lines>
  <Paragraphs>111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2025-10-02T16:05:00Z</dcterms:created>
  <dcterms:modified xsi:type="dcterms:W3CDTF">2025-10-02T16:05:00Z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